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16BA5" w14:textId="77777777" w:rsidR="001D37B5" w:rsidRPr="00900B7B" w:rsidRDefault="007F17AC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 w:rsidRPr="00900B7B">
        <w:rPr>
          <w:b/>
          <w:sz w:val="28"/>
          <w:szCs w:val="28"/>
          <w:u w:val="single"/>
        </w:rPr>
        <w:t>Rent (</w:t>
      </w:r>
      <w:r w:rsidR="00A369E5">
        <w:rPr>
          <w:b/>
          <w:sz w:val="28"/>
          <w:szCs w:val="28"/>
          <w:u w:val="single"/>
        </w:rPr>
        <w:t>QLD</w:t>
      </w:r>
      <w:r w:rsidR="00926033">
        <w:rPr>
          <w:b/>
          <w:sz w:val="28"/>
          <w:szCs w:val="28"/>
          <w:u w:val="single"/>
        </w:rPr>
        <w:t>-August</w:t>
      </w:r>
      <w:r w:rsidRPr="00900B7B">
        <w:rPr>
          <w:b/>
          <w:sz w:val="28"/>
          <w:szCs w:val="28"/>
          <w:u w:val="single"/>
        </w:rPr>
        <w:t>)</w:t>
      </w:r>
      <w:r w:rsidR="0093041B" w:rsidRPr="00900B7B">
        <w:rPr>
          <w:b/>
          <w:sz w:val="28"/>
          <w:szCs w:val="28"/>
          <w:u w:val="single"/>
        </w:rPr>
        <w:t xml:space="preserve"> Action Definition</w:t>
      </w:r>
    </w:p>
    <w:p w14:paraId="226B618D" w14:textId="77777777" w:rsidR="009328B3" w:rsidRPr="00900B7B" w:rsidRDefault="009328B3" w:rsidP="001D37B5">
      <w:pPr>
        <w:ind w:left="-284" w:right="-449"/>
        <w:rPr>
          <w:sz w:val="24"/>
          <w:szCs w:val="24"/>
        </w:rPr>
      </w:pPr>
      <w:r w:rsidRPr="00900B7B">
        <w:rPr>
          <w:sz w:val="24"/>
          <w:szCs w:val="24"/>
        </w:rPr>
        <w:t xml:space="preserve">This action definition describes the process for paying Rent in </w:t>
      </w:r>
      <w:r w:rsidR="006E3A29">
        <w:rPr>
          <w:sz w:val="24"/>
          <w:szCs w:val="24"/>
        </w:rPr>
        <w:t xml:space="preserve">QLD on </w:t>
      </w:r>
      <w:r w:rsidR="00036D42">
        <w:rPr>
          <w:sz w:val="24"/>
          <w:szCs w:val="24"/>
        </w:rPr>
        <w:t>MC, ML, MDL, PL EPGs and ATP</w:t>
      </w:r>
      <w:r w:rsidRPr="00900B7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00B7B" w14:paraId="783AAADE" w14:textId="77777777" w:rsidTr="008E4788">
        <w:tc>
          <w:tcPr>
            <w:tcW w:w="3369" w:type="dxa"/>
          </w:tcPr>
          <w:p w14:paraId="0C8A1214" w14:textId="77777777" w:rsidR="008E4788" w:rsidRPr="00900B7B" w:rsidRDefault="008E4788" w:rsidP="00C85E2E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27E4310E" w14:textId="77777777" w:rsidR="008E4788" w:rsidRPr="00900B7B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7DB9FD1B" w14:textId="77777777" w:rsidR="009328B3" w:rsidRPr="00900B7B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632FFBC1" w14:textId="77777777" w:rsidR="009328B3" w:rsidRPr="00900B7B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00B7B" w14:paraId="3F603D43" w14:textId="77777777" w:rsidTr="00A33A0B">
        <w:tc>
          <w:tcPr>
            <w:tcW w:w="11199" w:type="dxa"/>
            <w:gridSpan w:val="4"/>
            <w:shd w:val="pct15" w:color="auto" w:fill="auto"/>
          </w:tcPr>
          <w:p w14:paraId="42D9FA33" w14:textId="77777777" w:rsidR="00B340AC" w:rsidRPr="00900B7B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 xml:space="preserve">Action </w:t>
            </w:r>
            <w:r w:rsidR="00C30241" w:rsidRPr="00900B7B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00B7B" w14:paraId="2E4E59BB" w14:textId="77777777" w:rsidTr="00F01090">
        <w:tc>
          <w:tcPr>
            <w:tcW w:w="3392" w:type="dxa"/>
          </w:tcPr>
          <w:p w14:paraId="6A1AF8CC" w14:textId="77777777" w:rsidR="00985509" w:rsidRPr="00900B7B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Asset</w:t>
            </w:r>
            <w:r w:rsidR="00985509" w:rsidRPr="00900B7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27C79290" w14:textId="77777777" w:rsidR="00985509" w:rsidRPr="00900B7B" w:rsidRDefault="00985509" w:rsidP="00165FBA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Tenement</w:t>
            </w:r>
          </w:p>
        </w:tc>
      </w:tr>
      <w:tr w:rsidR="004E25E9" w:rsidRPr="00900B7B" w14:paraId="2CB1DA0A" w14:textId="77777777" w:rsidTr="00F01090">
        <w:tc>
          <w:tcPr>
            <w:tcW w:w="3392" w:type="dxa"/>
          </w:tcPr>
          <w:p w14:paraId="0ED53659" w14:textId="77777777" w:rsidR="004E25E9" w:rsidRPr="00900B7B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 xml:space="preserve">Action </w:t>
            </w:r>
            <w:r w:rsidR="00212C49" w:rsidRPr="00900B7B">
              <w:rPr>
                <w:b/>
                <w:sz w:val="24"/>
                <w:szCs w:val="24"/>
              </w:rPr>
              <w:t>Name</w:t>
            </w:r>
            <w:r w:rsidR="003C6C1D" w:rsidRPr="00900B7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2492BEE3" w14:textId="77777777" w:rsidR="004E25E9" w:rsidRPr="0083645B" w:rsidRDefault="00036D42" w:rsidP="00431E89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Rent</w:t>
            </w:r>
            <w:r>
              <w:rPr>
                <w:sz w:val="24"/>
                <w:szCs w:val="24"/>
              </w:rPr>
              <w:t xml:space="preserve"> </w:t>
            </w:r>
            <w:r w:rsidR="000B329B">
              <w:rPr>
                <w:sz w:val="24"/>
                <w:szCs w:val="24"/>
              </w:rPr>
              <w:t>Fixed Date</w:t>
            </w:r>
            <w:r w:rsidR="00926033" w:rsidRPr="0083645B">
              <w:rPr>
                <w:sz w:val="24"/>
                <w:szCs w:val="24"/>
              </w:rPr>
              <w:t xml:space="preserve"> </w:t>
            </w:r>
          </w:p>
        </w:tc>
      </w:tr>
      <w:tr w:rsidR="004E25E9" w:rsidRPr="00900B7B" w14:paraId="4076B558" w14:textId="77777777" w:rsidTr="00F01090">
        <w:tc>
          <w:tcPr>
            <w:tcW w:w="3392" w:type="dxa"/>
          </w:tcPr>
          <w:p w14:paraId="3E0687BA" w14:textId="77777777" w:rsidR="004E25E9" w:rsidRPr="00900B7B" w:rsidRDefault="004E25E9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1B91B919" w14:textId="77777777" w:rsidR="004E25E9" w:rsidRPr="0083645B" w:rsidRDefault="00A917A7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{</w:t>
            </w:r>
            <w:r w:rsidR="00D213FE" w:rsidRPr="0083645B">
              <w:rPr>
                <w:sz w:val="24"/>
                <w:szCs w:val="24"/>
              </w:rPr>
              <w:t>s</w:t>
            </w:r>
            <w:r w:rsidR="004E25E9" w:rsidRPr="0083645B">
              <w:rPr>
                <w:sz w:val="24"/>
                <w:szCs w:val="24"/>
              </w:rPr>
              <w:t>tatus</w:t>
            </w:r>
            <w:r w:rsidRPr="0083645B">
              <w:rPr>
                <w:sz w:val="24"/>
                <w:szCs w:val="24"/>
              </w:rPr>
              <w:t>}</w:t>
            </w:r>
            <w:r w:rsidR="004E25E9" w:rsidRPr="0083645B">
              <w:rPr>
                <w:sz w:val="24"/>
                <w:szCs w:val="24"/>
              </w:rPr>
              <w:t xml:space="preserve"> = Live</w:t>
            </w:r>
          </w:p>
        </w:tc>
      </w:tr>
      <w:tr w:rsidR="00F01090" w:rsidRPr="00900B7B" w14:paraId="791CDEB3" w14:textId="77777777" w:rsidTr="00DC3A6E">
        <w:tc>
          <w:tcPr>
            <w:tcW w:w="3403" w:type="dxa"/>
            <w:gridSpan w:val="2"/>
          </w:tcPr>
          <w:p w14:paraId="2517D2D4" w14:textId="77777777" w:rsidR="00F01090" w:rsidRPr="00900B7B" w:rsidRDefault="00F01090" w:rsidP="00DC3A6E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DFFCB09" w14:textId="77777777" w:rsidR="00F01090" w:rsidRPr="0083645B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4E25E9" w:rsidRPr="00900B7B" w14:paraId="57C59180" w14:textId="77777777" w:rsidTr="00F01090">
        <w:tc>
          <w:tcPr>
            <w:tcW w:w="3392" w:type="dxa"/>
          </w:tcPr>
          <w:p w14:paraId="63986F56" w14:textId="77777777" w:rsidR="004E25E9" w:rsidRPr="00900B7B" w:rsidRDefault="00D93FD5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69F42F40" w14:textId="77777777" w:rsidR="004E25E9" w:rsidRPr="0083645B" w:rsidRDefault="00A917A7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Annually</w:t>
            </w:r>
          </w:p>
        </w:tc>
      </w:tr>
      <w:tr w:rsidR="00551C5A" w:rsidRPr="00900B7B" w14:paraId="1D8BDC59" w14:textId="77777777" w:rsidTr="005E0FC7">
        <w:tc>
          <w:tcPr>
            <w:tcW w:w="3392" w:type="dxa"/>
          </w:tcPr>
          <w:p w14:paraId="516BC0E1" w14:textId="77777777" w:rsidR="00551C5A" w:rsidRPr="00900B7B" w:rsidRDefault="00551C5A" w:rsidP="00B062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2DD3485D" w14:textId="77777777" w:rsidR="00551C5A" w:rsidRPr="009A25DD" w:rsidRDefault="00551C5A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{commencementDate}</w:t>
            </w:r>
          </w:p>
        </w:tc>
      </w:tr>
      <w:tr w:rsidR="00D27C76" w:rsidRPr="00900B7B" w14:paraId="375D0587" w14:textId="77777777" w:rsidTr="00F01090">
        <w:tc>
          <w:tcPr>
            <w:tcW w:w="3392" w:type="dxa"/>
          </w:tcPr>
          <w:p w14:paraId="1990FD87" w14:textId="77777777" w:rsidR="00D27C76" w:rsidRPr="00900B7B" w:rsidRDefault="00D27C76" w:rsidP="00B062D7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6A5AEA8C" w14:textId="77777777" w:rsidR="00D27C76" w:rsidRPr="00900B7B" w:rsidRDefault="003C27F2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 Due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3CE4FA24" w14:textId="77777777" w:rsidR="00D27C76" w:rsidRPr="0083645B" w:rsidRDefault="00036D42" w:rsidP="009328B3">
            <w:pPr>
              <w:rPr>
                <w:sz w:val="24"/>
                <w:szCs w:val="24"/>
              </w:rPr>
            </w:pPr>
            <w:bookmarkStart w:id="0" w:name="OLE_LINK1"/>
            <w:bookmarkStart w:id="1" w:name="OLE_LINK2"/>
            <w:r w:rsidRPr="009A25DD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31 Aug each {</w:t>
            </w:r>
            <w:r w:rsidR="00403EE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nterval}</w:t>
            </w:r>
            <w:bookmarkEnd w:id="0"/>
            <w:bookmarkEnd w:id="1"/>
          </w:p>
        </w:tc>
      </w:tr>
      <w:tr w:rsidR="00D27C76" w:rsidRPr="00900B7B" w14:paraId="707DCB77" w14:textId="77777777" w:rsidTr="00F01090">
        <w:tc>
          <w:tcPr>
            <w:tcW w:w="3392" w:type="dxa"/>
          </w:tcPr>
          <w:p w14:paraId="06A9ECB4" w14:textId="77777777" w:rsidR="00D27C76" w:rsidRPr="00900B7B" w:rsidRDefault="00D27C76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3FEA7501" w14:textId="77777777" w:rsidR="00D27C76" w:rsidRPr="00900B7B" w:rsidRDefault="00D27C76" w:rsidP="009328B3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Deadline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2097895F" w14:textId="77777777" w:rsidR="00D27C76" w:rsidRPr="0083645B" w:rsidRDefault="00C242A5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{Critical Date}</w:t>
            </w:r>
          </w:p>
        </w:tc>
      </w:tr>
    </w:tbl>
    <w:p w14:paraId="01F012BC" w14:textId="52E13A56" w:rsidR="00555AA8" w:rsidRPr="00900B7B" w:rsidRDefault="00555AA8" w:rsidP="009328B3">
      <w:pPr>
        <w:spacing w:after="120"/>
        <w:rPr>
          <w:i/>
          <w:sz w:val="18"/>
          <w:szCs w:val="18"/>
        </w:rPr>
      </w:pPr>
      <w:r w:rsidRPr="00900B7B">
        <w:rPr>
          <w:i/>
          <w:sz w:val="18"/>
          <w:szCs w:val="18"/>
          <w:u w:val="single"/>
        </w:rPr>
        <w:t>Note</w:t>
      </w:r>
      <w:r w:rsidRPr="00900B7B">
        <w:rPr>
          <w:i/>
          <w:sz w:val="18"/>
          <w:szCs w:val="18"/>
        </w:rPr>
        <w:t>: The Action Trigger defines the logic of the Action. The Deadline is the latest date by which the Action can be completed.</w:t>
      </w:r>
      <w:r w:rsidR="001017CA">
        <w:rPr>
          <w:i/>
          <w:sz w:val="18"/>
          <w:szCs w:val="18"/>
        </w:rPr>
        <w:t>The Earliest Action Date is required for LandTracker to calculate what year to begin.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7938C3" w:rsidRPr="00900B7B" w14:paraId="382B2208" w14:textId="77777777" w:rsidTr="009328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0B5790" w14:textId="77777777" w:rsidR="007938C3" w:rsidRPr="00900B7B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00B7B" w14:paraId="39A0F54B" w14:textId="77777777" w:rsidTr="009328B3">
        <w:tc>
          <w:tcPr>
            <w:tcW w:w="2694" w:type="dxa"/>
            <w:shd w:val="clear" w:color="auto" w:fill="D9D9D9" w:themeFill="background1" w:themeFillShade="D9"/>
          </w:tcPr>
          <w:p w14:paraId="69C55AE8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bookmarkStart w:id="2" w:name="_Hlk429579419"/>
            <w:r w:rsidRPr="00900B7B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3D537E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2B8E11C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Version</w:t>
            </w:r>
          </w:p>
        </w:tc>
      </w:tr>
      <w:bookmarkEnd w:id="2"/>
      <w:tr w:rsidR="0083645B" w:rsidRPr="00900B7B" w14:paraId="1B48325F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6EEF1D7A" w14:textId="77777777" w:rsidR="0083645B" w:rsidRDefault="00A369E5" w:rsidP="0083645B"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664ACC5A" w14:textId="77777777" w:rsidR="0083645B" w:rsidRPr="00FC75B3" w:rsidRDefault="00926033" w:rsidP="0083645B">
            <w:pPr>
              <w:pStyle w:val="TextFieldStyle"/>
              <w:rPr>
                <w:szCs w:val="24"/>
                <w:highlight w:val="magenta"/>
              </w:rPr>
            </w:pPr>
            <w:r w:rsidRPr="00926033">
              <w:rPr>
                <w:szCs w:val="24"/>
              </w:rPr>
              <w:t>Mining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5E8E7C6C" w14:textId="77777777" w:rsidR="0083645B" w:rsidRPr="00900B7B" w:rsidRDefault="0083645B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A369E5" w:rsidRPr="00900B7B" w14:paraId="7A31198F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3BC13902" w14:textId="77777777" w:rsidR="00A369E5" w:rsidRDefault="00A369E5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7EB4DB0A" w14:textId="77777777" w:rsidR="00A369E5" w:rsidRPr="006E3A29" w:rsidRDefault="00926033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Mining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7B43FC40" w14:textId="77777777" w:rsidR="00A369E5" w:rsidRPr="00900B7B" w:rsidRDefault="00A369E5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A369E5" w:rsidRPr="00900B7B" w14:paraId="36D999CA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48AE7BF5" w14:textId="77777777" w:rsidR="00A369E5" w:rsidRDefault="00A369E5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68D64D54" w14:textId="77777777" w:rsidR="00A369E5" w:rsidRPr="006E3A29" w:rsidRDefault="00926033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Mineral Development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00617BDE" w14:textId="77777777" w:rsidR="00A369E5" w:rsidRPr="00900B7B" w:rsidRDefault="00A369E5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926033" w:rsidRPr="00900B7B" w14:paraId="073D4B27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54ED9F51" w14:textId="77777777" w:rsidR="00926033" w:rsidRDefault="00926033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B05D2D9" w14:textId="77777777" w:rsidR="00926033" w:rsidRDefault="00926033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Petroleum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6976A24D" w14:textId="77777777" w:rsidR="00926033" w:rsidRPr="00900B7B" w:rsidRDefault="00926033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926033" w:rsidRPr="00900B7B" w14:paraId="6B083530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5578CF37" w14:textId="77777777" w:rsidR="00926033" w:rsidRDefault="00926033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16B245BA" w14:textId="77777777" w:rsidR="00926033" w:rsidRDefault="00926033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Authority to Prospect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5029B4C1" w14:textId="77777777" w:rsidR="00926033" w:rsidRPr="00900B7B" w:rsidRDefault="00926033" w:rsidP="0083645B">
            <w:pPr>
              <w:rPr>
                <w:sz w:val="24"/>
                <w:szCs w:val="24"/>
                <w:highlight w:val="magenta"/>
              </w:rPr>
            </w:pPr>
          </w:p>
        </w:tc>
      </w:tr>
    </w:tbl>
    <w:p w14:paraId="34ED73EA" w14:textId="77777777" w:rsidR="007938C3" w:rsidRPr="00900B7B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00B7B" w14:paraId="40EFABC8" w14:textId="77777777" w:rsidTr="00A33A0B">
        <w:tc>
          <w:tcPr>
            <w:tcW w:w="11199" w:type="dxa"/>
            <w:gridSpan w:val="2"/>
            <w:shd w:val="pct15" w:color="auto" w:fill="auto"/>
          </w:tcPr>
          <w:p w14:paraId="1484AD0E" w14:textId="77777777" w:rsidR="008E2879" w:rsidRPr="00900B7B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Task L</w:t>
            </w:r>
            <w:r w:rsidR="008E2879" w:rsidRPr="00900B7B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00B7B" w14:paraId="1BA1F83F" w14:textId="77777777" w:rsidTr="009328B3">
        <w:tc>
          <w:tcPr>
            <w:tcW w:w="7939" w:type="dxa"/>
            <w:shd w:val="clear" w:color="auto" w:fill="D9D9D9" w:themeFill="background1" w:themeFillShade="D9"/>
          </w:tcPr>
          <w:p w14:paraId="459DEC40" w14:textId="77777777" w:rsidR="00441A77" w:rsidRPr="003756B4" w:rsidRDefault="00441A77" w:rsidP="009328B3">
            <w:pPr>
              <w:rPr>
                <w:b/>
                <w:sz w:val="24"/>
                <w:szCs w:val="24"/>
              </w:rPr>
            </w:pPr>
            <w:r w:rsidRPr="003756B4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67D2FDC" w14:textId="77777777" w:rsidR="00441A77" w:rsidRPr="003756B4" w:rsidRDefault="001B07C7" w:rsidP="009328B3">
            <w:pPr>
              <w:rPr>
                <w:b/>
                <w:sz w:val="24"/>
                <w:szCs w:val="24"/>
              </w:rPr>
            </w:pPr>
            <w:r w:rsidRPr="003756B4">
              <w:rPr>
                <w:b/>
                <w:sz w:val="24"/>
                <w:szCs w:val="24"/>
              </w:rPr>
              <w:t>Days Needed</w:t>
            </w:r>
            <w:r w:rsidR="007055C3" w:rsidRPr="003756B4">
              <w:rPr>
                <w:b/>
                <w:sz w:val="24"/>
                <w:szCs w:val="24"/>
              </w:rPr>
              <w:t xml:space="preserve"> </w:t>
            </w:r>
            <w:r w:rsidRPr="003756B4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00B7B" w14:paraId="65498020" w14:textId="77777777" w:rsidTr="00C05C3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2FBD3CE3" w14:textId="77777777" w:rsidR="006275EC" w:rsidRPr="003756B4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Notify Geo or Exploration Manager of Rent Due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09D5AC8E" w14:textId="77777777" w:rsidR="006275EC" w:rsidRPr="003756B4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70d</w:t>
            </w:r>
          </w:p>
        </w:tc>
      </w:tr>
      <w:tr w:rsidR="00C05C34" w:rsidRPr="00900B7B" w14:paraId="26E2F773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4FC542D6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Notify Accounts – Reminder to pay rent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5DA1E535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30d</w:t>
            </w:r>
          </w:p>
        </w:tc>
      </w:tr>
      <w:tr w:rsidR="00C05C34" w:rsidRPr="00900B7B" w14:paraId="08DB7B93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6C3BBE68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Pay Rent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4B048E7F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14d</w:t>
            </w:r>
          </w:p>
        </w:tc>
      </w:tr>
      <w:tr w:rsidR="00C05C34" w:rsidRPr="00900B7B" w14:paraId="318EED38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67207D48" w14:textId="77777777" w:rsidR="00C05C34" w:rsidRPr="003756B4" w:rsidRDefault="00FC75B3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Verify Rent Received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64732CEA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3d</w:t>
            </w:r>
          </w:p>
        </w:tc>
      </w:tr>
      <w:tr w:rsidR="009328B3" w:rsidRPr="00900B7B" w14:paraId="7B82E712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532F3983" w14:textId="77777777" w:rsidR="009328B3" w:rsidRPr="00900B7B" w:rsidRDefault="009328B3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55BE2AF5" w14:textId="77777777" w:rsidR="009328B3" w:rsidRPr="00900B7B" w:rsidRDefault="009328B3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67E79738" w14:textId="77777777" w:rsidR="00184150" w:rsidRPr="00900B7B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00B7B">
        <w:rPr>
          <w:i/>
          <w:sz w:val="18"/>
          <w:szCs w:val="18"/>
          <w:u w:val="single"/>
        </w:rPr>
        <w:t>Note</w:t>
      </w:r>
      <w:r w:rsidRPr="00900B7B">
        <w:rPr>
          <w:i/>
          <w:sz w:val="18"/>
          <w:szCs w:val="18"/>
        </w:rPr>
        <w:t xml:space="preserve">: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as you wish. If a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 has no Days Needed Before Deadline entered then it will default to the previous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 Days Needed Before Deadline.</w:t>
      </w:r>
    </w:p>
    <w:p w14:paraId="35CB15E3" w14:textId="77777777" w:rsidR="004D10CC" w:rsidRDefault="004D10CC" w:rsidP="002B602D">
      <w:pPr>
        <w:spacing w:after="0" w:line="240" w:lineRule="auto"/>
        <w:ind w:left="-142"/>
        <w:rPr>
          <w:b/>
          <w:sz w:val="24"/>
          <w:szCs w:val="24"/>
        </w:rPr>
      </w:pPr>
    </w:p>
    <w:p w14:paraId="4B13763D" w14:textId="77777777" w:rsidR="0093041B" w:rsidRPr="00127BC9" w:rsidRDefault="0093041B" w:rsidP="002B602D">
      <w:pPr>
        <w:spacing w:after="0" w:line="240" w:lineRule="auto"/>
        <w:ind w:left="-142"/>
        <w:rPr>
          <w:b/>
          <w:sz w:val="24"/>
          <w:szCs w:val="24"/>
        </w:rPr>
      </w:pPr>
      <w:r w:rsidRPr="00127BC9">
        <w:rPr>
          <w:b/>
          <w:sz w:val="24"/>
          <w:szCs w:val="24"/>
        </w:rPr>
        <w:t>How to Lodge:</w:t>
      </w:r>
    </w:p>
    <w:p w14:paraId="46324B02" w14:textId="4A3ED10F" w:rsidR="004B2681" w:rsidRDefault="000343B4" w:rsidP="004B2681">
      <w:pPr>
        <w:tabs>
          <w:tab w:val="left" w:pos="1418"/>
          <w:tab w:val="left" w:pos="4111"/>
        </w:tabs>
        <w:spacing w:after="80"/>
        <w:rPr>
          <w:sz w:val="24"/>
          <w:szCs w:val="24"/>
        </w:rPr>
      </w:pPr>
      <w:r w:rsidRPr="00127BC9">
        <w:rPr>
          <w:sz w:val="24"/>
          <w:szCs w:val="24"/>
        </w:rPr>
        <w:t xml:space="preserve">The rent payable for a </w:t>
      </w:r>
      <w:r w:rsidR="00C242A5">
        <w:rPr>
          <w:sz w:val="24"/>
          <w:szCs w:val="24"/>
        </w:rPr>
        <w:t xml:space="preserve">EPM </w:t>
      </w:r>
      <w:r w:rsidRPr="00127BC9">
        <w:rPr>
          <w:sz w:val="24"/>
          <w:szCs w:val="24"/>
        </w:rPr>
        <w:t xml:space="preserve">must be paid annually in advance to the </w:t>
      </w:r>
      <w:r w:rsidR="00C242A5">
        <w:rPr>
          <w:rFonts w:ascii="Arial" w:hAnsi="Arial" w:cs="Arial"/>
          <w:color w:val="242424"/>
        </w:rPr>
        <w:t>Department of Natural Resources and Mines</w:t>
      </w:r>
      <w:r w:rsidRPr="00EA4C4B">
        <w:rPr>
          <w:sz w:val="24"/>
          <w:szCs w:val="24"/>
        </w:rPr>
        <w:t>. </w:t>
      </w:r>
      <w:r w:rsidR="006E3A29" w:rsidRPr="00EA4C4B">
        <w:rPr>
          <w:color w:val="FF0000"/>
          <w:sz w:val="24"/>
          <w:szCs w:val="24"/>
        </w:rPr>
        <w:t>Rent is not due on the renewal of the EPM but within 20 days after grant.</w:t>
      </w:r>
      <w:r w:rsidR="006E3A29">
        <w:rPr>
          <w:sz w:val="24"/>
          <w:szCs w:val="24"/>
        </w:rPr>
        <w:t xml:space="preserve"> </w:t>
      </w:r>
    </w:p>
    <w:p w14:paraId="4792DA6F" w14:textId="77777777" w:rsidR="0045241C" w:rsidRDefault="0045241C" w:rsidP="004B2681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4B2681" w14:paraId="1477F3B9" w14:textId="77777777" w:rsidTr="004B2681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274589B" w14:textId="77777777" w:rsidR="004B2681" w:rsidRDefault="004B26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4B2681" w14:paraId="5A27416D" w14:textId="77777777" w:rsidTr="004B268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DC9A3" w14:textId="77777777" w:rsidR="004B2681" w:rsidRDefault="004B26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BD4C5A" w14:textId="77777777" w:rsidR="004B2681" w:rsidRDefault="004B26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7063E" w14:textId="77777777" w:rsidR="004B2681" w:rsidRDefault="004B26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EA4C4B" w14:paraId="64B3D63B" w14:textId="77777777" w:rsidTr="00EA4C4B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E8B0" w14:textId="11522528" w:rsidR="00EA4C4B" w:rsidRDefault="0045241C" w:rsidP="00EA4C4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59B" w14:textId="0F98E1B2" w:rsidR="00EA4C4B" w:rsidRDefault="0045241C" w:rsidP="00EA4C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B198" w14:textId="4F3583B0" w:rsidR="00EA4C4B" w:rsidRDefault="0045241C" w:rsidP="00EA4C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45241C">
              <w:rPr>
                <w:sz w:val="24"/>
                <w:szCs w:val="24"/>
              </w:rPr>
              <w:t>Removed custom fields, wiki links, and test examples.</w:t>
            </w:r>
          </w:p>
        </w:tc>
      </w:tr>
      <w:tr w:rsidR="0045241C" w14:paraId="31962A9B" w14:textId="77777777" w:rsidTr="004B268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703F" w14:textId="6A6266F6" w:rsidR="0045241C" w:rsidRDefault="0045241C" w:rsidP="0045241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006C" w14:textId="5C14CDE6" w:rsidR="0045241C" w:rsidRDefault="0045241C" w:rsidP="0045241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F96A" w14:textId="252BC4ED" w:rsidR="0045241C" w:rsidRDefault="0045241C" w:rsidP="0045241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45241C" w14:paraId="64E1B04C" w14:textId="77777777" w:rsidTr="004B268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40A4" w14:textId="1B2E7FCE" w:rsidR="0045241C" w:rsidRDefault="0045241C" w:rsidP="0045241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C697" w14:textId="61E9D528" w:rsidR="0045241C" w:rsidRDefault="0045241C" w:rsidP="0045241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8817" w14:textId="62A338C5" w:rsidR="0045241C" w:rsidRDefault="0045241C" w:rsidP="0045241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45241C" w14:paraId="42ACCA55" w14:textId="77777777" w:rsidTr="004B268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3A90" w14:textId="77777777" w:rsidR="0045241C" w:rsidRDefault="0045241C" w:rsidP="0045241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FD1" w14:textId="77777777" w:rsidR="0045241C" w:rsidRDefault="0045241C" w:rsidP="0045241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608" w14:textId="77777777" w:rsidR="0045241C" w:rsidRDefault="0045241C" w:rsidP="0045241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9DAE828" w14:textId="77777777" w:rsidR="004B2681" w:rsidRDefault="004B2681" w:rsidP="004B2681"/>
    <w:p w14:paraId="5E093918" w14:textId="77777777" w:rsidR="006A3414" w:rsidRPr="009328B3" w:rsidRDefault="006A3414" w:rsidP="00AF75C1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9C773" w14:textId="77777777" w:rsidR="009C157D" w:rsidRDefault="009C157D" w:rsidP="00AF75C1">
      <w:pPr>
        <w:spacing w:after="0" w:line="240" w:lineRule="auto"/>
      </w:pPr>
      <w:r>
        <w:separator/>
      </w:r>
    </w:p>
  </w:endnote>
  <w:endnote w:type="continuationSeparator" w:id="0">
    <w:p w14:paraId="0576CEFB" w14:textId="77777777" w:rsidR="009C157D" w:rsidRDefault="009C157D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04395" w14:textId="77777777" w:rsidR="009C157D" w:rsidRDefault="009C157D" w:rsidP="00AF75C1">
      <w:pPr>
        <w:spacing w:after="0" w:line="240" w:lineRule="auto"/>
      </w:pPr>
      <w:r>
        <w:separator/>
      </w:r>
    </w:p>
  </w:footnote>
  <w:footnote w:type="continuationSeparator" w:id="0">
    <w:p w14:paraId="1E97E243" w14:textId="77777777" w:rsidR="009C157D" w:rsidRDefault="009C157D" w:rsidP="00AF75C1">
      <w:pPr>
        <w:spacing w:after="0" w:line="240" w:lineRule="auto"/>
      </w:pPr>
      <w:r>
        <w:continuationSeparator/>
      </w:r>
    </w:p>
  </w:footnote>
  <w:footnote w:id="1">
    <w:p w14:paraId="6590474D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6B0C49C9" w14:textId="77777777" w:rsidR="003C27F2" w:rsidRDefault="003C27F2" w:rsidP="003C27F2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33427">
    <w:abstractNumId w:val="1"/>
  </w:num>
  <w:num w:numId="2" w16cid:durableId="45999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31457"/>
    <w:rsid w:val="000343B4"/>
    <w:rsid w:val="00036D42"/>
    <w:rsid w:val="000567D5"/>
    <w:rsid w:val="00065DDC"/>
    <w:rsid w:val="0006729A"/>
    <w:rsid w:val="00073E2E"/>
    <w:rsid w:val="00092044"/>
    <w:rsid w:val="000B329B"/>
    <w:rsid w:val="000C634E"/>
    <w:rsid w:val="000C7037"/>
    <w:rsid w:val="000F0C7B"/>
    <w:rsid w:val="001017CA"/>
    <w:rsid w:val="001051DD"/>
    <w:rsid w:val="001211B5"/>
    <w:rsid w:val="00127BC9"/>
    <w:rsid w:val="00135BFE"/>
    <w:rsid w:val="00153B19"/>
    <w:rsid w:val="00173393"/>
    <w:rsid w:val="00184150"/>
    <w:rsid w:val="001867AB"/>
    <w:rsid w:val="001B0421"/>
    <w:rsid w:val="001B07C7"/>
    <w:rsid w:val="001D37B5"/>
    <w:rsid w:val="001D7733"/>
    <w:rsid w:val="00203C9F"/>
    <w:rsid w:val="00212C49"/>
    <w:rsid w:val="002770FE"/>
    <w:rsid w:val="00280162"/>
    <w:rsid w:val="002967A8"/>
    <w:rsid w:val="002B602D"/>
    <w:rsid w:val="002B7F80"/>
    <w:rsid w:val="002E3869"/>
    <w:rsid w:val="002E6A80"/>
    <w:rsid w:val="002E7D7C"/>
    <w:rsid w:val="00305C74"/>
    <w:rsid w:val="0031442C"/>
    <w:rsid w:val="00323285"/>
    <w:rsid w:val="00324353"/>
    <w:rsid w:val="003500DC"/>
    <w:rsid w:val="0035472F"/>
    <w:rsid w:val="003756B4"/>
    <w:rsid w:val="00385DD1"/>
    <w:rsid w:val="003C27F2"/>
    <w:rsid w:val="003C6C1D"/>
    <w:rsid w:val="003E0486"/>
    <w:rsid w:val="003E48AE"/>
    <w:rsid w:val="00403EEC"/>
    <w:rsid w:val="00431E89"/>
    <w:rsid w:val="00436CF9"/>
    <w:rsid w:val="00441A77"/>
    <w:rsid w:val="004512C5"/>
    <w:rsid w:val="0045241C"/>
    <w:rsid w:val="00475FE7"/>
    <w:rsid w:val="004B2681"/>
    <w:rsid w:val="004D10CC"/>
    <w:rsid w:val="004D5989"/>
    <w:rsid w:val="004E25E9"/>
    <w:rsid w:val="00551C5A"/>
    <w:rsid w:val="00555AA8"/>
    <w:rsid w:val="00584116"/>
    <w:rsid w:val="005912F5"/>
    <w:rsid w:val="005D59BA"/>
    <w:rsid w:val="005D7814"/>
    <w:rsid w:val="006275EC"/>
    <w:rsid w:val="00682E3E"/>
    <w:rsid w:val="006A3414"/>
    <w:rsid w:val="006C0DE8"/>
    <w:rsid w:val="006E3A29"/>
    <w:rsid w:val="007055C3"/>
    <w:rsid w:val="00714029"/>
    <w:rsid w:val="00731612"/>
    <w:rsid w:val="007440B1"/>
    <w:rsid w:val="007855B3"/>
    <w:rsid w:val="00787311"/>
    <w:rsid w:val="007938C3"/>
    <w:rsid w:val="007B705E"/>
    <w:rsid w:val="007F17AC"/>
    <w:rsid w:val="0082258E"/>
    <w:rsid w:val="0083645B"/>
    <w:rsid w:val="00872389"/>
    <w:rsid w:val="00880018"/>
    <w:rsid w:val="008A61D2"/>
    <w:rsid w:val="008B2016"/>
    <w:rsid w:val="008E2879"/>
    <w:rsid w:val="008E4788"/>
    <w:rsid w:val="008E7804"/>
    <w:rsid w:val="00900B7B"/>
    <w:rsid w:val="009176AF"/>
    <w:rsid w:val="00926033"/>
    <w:rsid w:val="009270A6"/>
    <w:rsid w:val="0093041B"/>
    <w:rsid w:val="009328B3"/>
    <w:rsid w:val="00953B5B"/>
    <w:rsid w:val="0098167A"/>
    <w:rsid w:val="00985509"/>
    <w:rsid w:val="00997DCA"/>
    <w:rsid w:val="009A3F79"/>
    <w:rsid w:val="009C157D"/>
    <w:rsid w:val="009C34ED"/>
    <w:rsid w:val="009D12A6"/>
    <w:rsid w:val="00A117E5"/>
    <w:rsid w:val="00A33A0B"/>
    <w:rsid w:val="00A35672"/>
    <w:rsid w:val="00A369E5"/>
    <w:rsid w:val="00A5500A"/>
    <w:rsid w:val="00A64930"/>
    <w:rsid w:val="00A917A7"/>
    <w:rsid w:val="00AF75C1"/>
    <w:rsid w:val="00B062D7"/>
    <w:rsid w:val="00B340AC"/>
    <w:rsid w:val="00C044D7"/>
    <w:rsid w:val="00C05C34"/>
    <w:rsid w:val="00C14E64"/>
    <w:rsid w:val="00C242A5"/>
    <w:rsid w:val="00C30241"/>
    <w:rsid w:val="00C420AA"/>
    <w:rsid w:val="00C477EB"/>
    <w:rsid w:val="00C54C2C"/>
    <w:rsid w:val="00C74DD4"/>
    <w:rsid w:val="00CB6105"/>
    <w:rsid w:val="00D03057"/>
    <w:rsid w:val="00D040CA"/>
    <w:rsid w:val="00D213FE"/>
    <w:rsid w:val="00D27C76"/>
    <w:rsid w:val="00D4513F"/>
    <w:rsid w:val="00D568B4"/>
    <w:rsid w:val="00D93FD5"/>
    <w:rsid w:val="00DF03CA"/>
    <w:rsid w:val="00DF29A7"/>
    <w:rsid w:val="00E64D13"/>
    <w:rsid w:val="00E87378"/>
    <w:rsid w:val="00EA4C4B"/>
    <w:rsid w:val="00EB6089"/>
    <w:rsid w:val="00ED1A7E"/>
    <w:rsid w:val="00ED78C0"/>
    <w:rsid w:val="00EF0E59"/>
    <w:rsid w:val="00F01090"/>
    <w:rsid w:val="00F12FE1"/>
    <w:rsid w:val="00F65EBD"/>
    <w:rsid w:val="00F74559"/>
    <w:rsid w:val="00F9184E"/>
    <w:rsid w:val="00F92056"/>
    <w:rsid w:val="00F93374"/>
    <w:rsid w:val="00F96D41"/>
    <w:rsid w:val="00FA4EBA"/>
    <w:rsid w:val="00FC0950"/>
    <w:rsid w:val="00F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2E66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07B7-9784-4CEC-B436-8BEA53E2FD08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F98718A8-8BE5-44DD-AE53-3B77A6DCA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96975-8EA5-4E53-B597-489CCB6BE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FEB947-C893-4538-A124-A45028B2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cp:lastPrinted>2014-03-26T07:25:00Z</cp:lastPrinted>
  <dcterms:created xsi:type="dcterms:W3CDTF">2024-10-10T04:43:00Z</dcterms:created>
  <dcterms:modified xsi:type="dcterms:W3CDTF">2024-10-10T04:44:00Z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